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1656BF">
      <w:pPr>
        <w:rPr>
          <w:rFonts w:asciiTheme="majorHAnsi" w:hAnsiTheme="majorHAnsi" w:cstheme="majorHAnsi"/>
          <w:b/>
          <w:sz w:val="24"/>
          <w:szCs w:val="24"/>
        </w:rPr>
      </w:pPr>
      <w:r w:rsidRPr="001656BF">
        <w:rPr>
          <w:rFonts w:asciiTheme="majorHAnsi" w:hAnsiTheme="majorHAnsi" w:cstheme="majorHAnsi"/>
          <w:b/>
          <w:sz w:val="24"/>
          <w:szCs w:val="24"/>
        </w:rPr>
        <w:t>Digital Citizenship for Teachers</w:t>
      </w:r>
    </w:p>
    <w:p w:rsidR="00B37D63" w:rsidRPr="00B37D63" w:rsidRDefault="00B37D63" w:rsidP="00B37D63">
      <w:pPr>
        <w:rPr>
          <w:rFonts w:asciiTheme="majorHAnsi" w:hAnsiTheme="majorHAnsi" w:cstheme="majorHAnsi"/>
          <w:sz w:val="24"/>
          <w:szCs w:val="24"/>
        </w:rPr>
      </w:pPr>
      <w:r w:rsidRPr="00B37D63">
        <w:rPr>
          <w:rFonts w:asciiTheme="majorHAnsi" w:hAnsiTheme="majorHAnsi" w:cstheme="majorHAnsi"/>
          <w:sz w:val="24"/>
          <w:szCs w:val="24"/>
        </w:rPr>
        <w:t xml:space="preserve">Education within the 21st century requires that we continually reimagine our definition of literacy and literacy instruction in the classroom (Barton &amp; Hamilton, 2012; Gee, 2012; </w:t>
      </w:r>
      <w:proofErr w:type="spellStart"/>
      <w:r w:rsidRPr="00B37D63">
        <w:rPr>
          <w:rFonts w:asciiTheme="majorHAnsi" w:hAnsiTheme="majorHAnsi" w:cstheme="majorHAnsi"/>
          <w:sz w:val="24"/>
          <w:szCs w:val="24"/>
        </w:rPr>
        <w:t>Muhtaris</w:t>
      </w:r>
      <w:proofErr w:type="spellEnd"/>
      <w:r w:rsidRPr="00B37D63">
        <w:rPr>
          <w:rFonts w:asciiTheme="majorHAnsi" w:hAnsiTheme="majorHAnsi" w:cstheme="majorHAnsi"/>
          <w:sz w:val="24"/>
          <w:szCs w:val="24"/>
        </w:rPr>
        <w:t xml:space="preserve"> &amp; </w:t>
      </w:r>
      <w:proofErr w:type="spellStart"/>
      <w:r w:rsidRPr="00B37D63">
        <w:rPr>
          <w:rFonts w:asciiTheme="majorHAnsi" w:hAnsiTheme="majorHAnsi" w:cstheme="majorHAnsi"/>
          <w:sz w:val="24"/>
          <w:szCs w:val="24"/>
        </w:rPr>
        <w:t>Ziemke</w:t>
      </w:r>
      <w:proofErr w:type="spellEnd"/>
      <w:r w:rsidRPr="00B37D63">
        <w:rPr>
          <w:rFonts w:asciiTheme="majorHAnsi" w:hAnsiTheme="majorHAnsi" w:cstheme="majorHAnsi"/>
          <w:sz w:val="24"/>
          <w:szCs w:val="24"/>
        </w:rPr>
        <w:t>, 2015). Our conceptualization of literacy is ever evolving and includes attention to new, digital, and multimodal literacies and acknowledges that these literacies change our habits as readers (</w:t>
      </w:r>
      <w:proofErr w:type="spellStart"/>
      <w:r w:rsidRPr="00B37D63">
        <w:rPr>
          <w:rFonts w:asciiTheme="majorHAnsi" w:hAnsiTheme="majorHAnsi" w:cstheme="majorHAnsi"/>
          <w:sz w:val="24"/>
          <w:szCs w:val="24"/>
        </w:rPr>
        <w:t>Assaf</w:t>
      </w:r>
      <w:proofErr w:type="spellEnd"/>
      <w:r w:rsidRPr="00B37D63">
        <w:rPr>
          <w:rFonts w:asciiTheme="majorHAnsi" w:hAnsiTheme="majorHAnsi" w:cstheme="majorHAnsi"/>
          <w:sz w:val="24"/>
          <w:szCs w:val="24"/>
        </w:rPr>
        <w:t xml:space="preserve"> &amp; </w:t>
      </w:r>
      <w:proofErr w:type="spellStart"/>
      <w:r w:rsidRPr="00B37D63">
        <w:rPr>
          <w:rFonts w:asciiTheme="majorHAnsi" w:hAnsiTheme="majorHAnsi" w:cstheme="majorHAnsi"/>
          <w:sz w:val="24"/>
          <w:szCs w:val="24"/>
        </w:rPr>
        <w:t>Adonyi</w:t>
      </w:r>
      <w:proofErr w:type="spellEnd"/>
      <w:r w:rsidRPr="00B37D63">
        <w:rPr>
          <w:rFonts w:asciiTheme="majorHAnsi" w:hAnsiTheme="majorHAnsi" w:cstheme="majorHAnsi"/>
          <w:sz w:val="24"/>
          <w:szCs w:val="24"/>
        </w:rPr>
        <w:t xml:space="preserve">, 2010; Bruce, 2002; </w:t>
      </w:r>
      <w:proofErr w:type="spellStart"/>
      <w:r w:rsidRPr="00B37D63">
        <w:rPr>
          <w:rFonts w:asciiTheme="majorHAnsi" w:hAnsiTheme="majorHAnsi" w:cstheme="majorHAnsi"/>
          <w:sz w:val="24"/>
          <w:szCs w:val="24"/>
        </w:rPr>
        <w:t>Curwood</w:t>
      </w:r>
      <w:proofErr w:type="spellEnd"/>
      <w:r w:rsidRPr="00B37D63">
        <w:rPr>
          <w:rFonts w:asciiTheme="majorHAnsi" w:hAnsiTheme="majorHAnsi" w:cstheme="majorHAnsi"/>
          <w:sz w:val="24"/>
          <w:szCs w:val="24"/>
        </w:rPr>
        <w:t xml:space="preserve"> &amp; Cowell, 2011; </w:t>
      </w:r>
      <w:proofErr w:type="spellStart"/>
      <w:r w:rsidRPr="00B37D63">
        <w:rPr>
          <w:rFonts w:asciiTheme="majorHAnsi" w:hAnsiTheme="majorHAnsi" w:cstheme="majorHAnsi"/>
          <w:sz w:val="24"/>
          <w:szCs w:val="24"/>
        </w:rPr>
        <w:t>Kuby</w:t>
      </w:r>
      <w:proofErr w:type="spellEnd"/>
      <w:r w:rsidRPr="00B37D63">
        <w:rPr>
          <w:rFonts w:asciiTheme="majorHAnsi" w:hAnsiTheme="majorHAnsi" w:cstheme="majorHAnsi"/>
          <w:sz w:val="24"/>
          <w:szCs w:val="24"/>
        </w:rPr>
        <w:t xml:space="preserve"> &amp; Vaughn, 2015; McKeon, 2010). Teachers now have a responsibility to use text, technology, and media critically and strategically for reading, composing, and learning with their students (</w:t>
      </w:r>
      <w:proofErr w:type="spellStart"/>
      <w:r w:rsidRPr="00B37D63">
        <w:rPr>
          <w:rFonts w:asciiTheme="majorHAnsi" w:hAnsiTheme="majorHAnsi" w:cstheme="majorHAnsi"/>
          <w:sz w:val="24"/>
          <w:szCs w:val="24"/>
        </w:rPr>
        <w:t>Muhtaris</w:t>
      </w:r>
      <w:proofErr w:type="spellEnd"/>
      <w:r w:rsidRPr="00B37D63">
        <w:rPr>
          <w:rFonts w:asciiTheme="majorHAnsi" w:hAnsiTheme="majorHAnsi" w:cstheme="majorHAnsi"/>
          <w:sz w:val="24"/>
          <w:szCs w:val="24"/>
        </w:rPr>
        <w:t xml:space="preserve"> &amp; </w:t>
      </w:r>
      <w:proofErr w:type="spellStart"/>
      <w:r w:rsidRPr="00B37D63">
        <w:rPr>
          <w:rFonts w:asciiTheme="majorHAnsi" w:hAnsiTheme="majorHAnsi" w:cstheme="majorHAnsi"/>
          <w:sz w:val="24"/>
          <w:szCs w:val="24"/>
        </w:rPr>
        <w:t>Ziemke</w:t>
      </w:r>
      <w:proofErr w:type="spellEnd"/>
      <w:r w:rsidRPr="00B37D63">
        <w:rPr>
          <w:rFonts w:asciiTheme="majorHAnsi" w:hAnsiTheme="majorHAnsi" w:cstheme="majorHAnsi"/>
          <w:sz w:val="24"/>
          <w:szCs w:val="24"/>
        </w:rPr>
        <w:t xml:space="preserve">, 2015; </w:t>
      </w:r>
      <w:proofErr w:type="spellStart"/>
      <w:r w:rsidRPr="00B37D63">
        <w:rPr>
          <w:rFonts w:asciiTheme="majorHAnsi" w:hAnsiTheme="majorHAnsi" w:cstheme="majorHAnsi"/>
          <w:sz w:val="24"/>
          <w:szCs w:val="24"/>
        </w:rPr>
        <w:t>Ribble</w:t>
      </w:r>
      <w:proofErr w:type="spellEnd"/>
      <w:r w:rsidRPr="00B37D63">
        <w:rPr>
          <w:rFonts w:asciiTheme="majorHAnsi" w:hAnsiTheme="majorHAnsi" w:cstheme="majorHAnsi"/>
          <w:sz w:val="24"/>
          <w:szCs w:val="24"/>
        </w:rPr>
        <w:t xml:space="preserve">, 2008/2009). This means that we not only have to teach students the tools of technology to enhance their learning, but we also need to teach them how to do so safely, respectfully, and responsibility by teaching students what it means to be a responsible digital citizen (Davison, 2013/2014; France, 2016; Levy, 2011; </w:t>
      </w:r>
      <w:proofErr w:type="spellStart"/>
      <w:r>
        <w:rPr>
          <w:rFonts w:asciiTheme="majorHAnsi" w:hAnsiTheme="majorHAnsi" w:cstheme="majorHAnsi"/>
          <w:sz w:val="24"/>
          <w:szCs w:val="24"/>
        </w:rPr>
        <w:t>Lura</w:t>
      </w:r>
      <w:proofErr w:type="spellEnd"/>
      <w:r>
        <w:rPr>
          <w:rFonts w:asciiTheme="majorHAnsi" w:hAnsiTheme="majorHAnsi" w:cstheme="majorHAnsi"/>
          <w:sz w:val="24"/>
          <w:szCs w:val="24"/>
        </w:rPr>
        <w:t xml:space="preserve">, 2016; </w:t>
      </w:r>
      <w:proofErr w:type="spellStart"/>
      <w:r>
        <w:rPr>
          <w:rFonts w:asciiTheme="majorHAnsi" w:hAnsiTheme="majorHAnsi" w:cstheme="majorHAnsi"/>
          <w:sz w:val="24"/>
          <w:szCs w:val="24"/>
        </w:rPr>
        <w:t>Ribble</w:t>
      </w:r>
      <w:proofErr w:type="spellEnd"/>
      <w:r>
        <w:rPr>
          <w:rFonts w:asciiTheme="majorHAnsi" w:hAnsiTheme="majorHAnsi" w:cstheme="majorHAnsi"/>
          <w:sz w:val="24"/>
          <w:szCs w:val="24"/>
        </w:rPr>
        <w:t>, 2008/2009).</w:t>
      </w:r>
    </w:p>
    <w:p w:rsidR="00B37D63" w:rsidRPr="00B37D63" w:rsidRDefault="00B37D63" w:rsidP="00B37D63">
      <w:pPr>
        <w:rPr>
          <w:rFonts w:asciiTheme="majorHAnsi" w:hAnsiTheme="majorHAnsi" w:cstheme="majorHAnsi"/>
          <w:sz w:val="24"/>
          <w:szCs w:val="24"/>
        </w:rPr>
      </w:pPr>
      <w:r w:rsidRPr="00B37D63">
        <w:rPr>
          <w:rFonts w:asciiTheme="majorHAnsi" w:hAnsiTheme="majorHAnsi" w:cstheme="majorHAnsi"/>
          <w:sz w:val="24"/>
          <w:szCs w:val="24"/>
        </w:rPr>
        <w:t>Common Sense Media provides guidance for educators to explore digital citizenship in the classroom and offer eight elements of an effective digital citiz</w:t>
      </w:r>
      <w:r>
        <w:rPr>
          <w:rFonts w:asciiTheme="majorHAnsi" w:hAnsiTheme="majorHAnsi" w:cstheme="majorHAnsi"/>
          <w:sz w:val="24"/>
          <w:szCs w:val="24"/>
        </w:rPr>
        <w:t>enship curriculum for students:</w:t>
      </w:r>
    </w:p>
    <w:p w:rsidR="00B37D63" w:rsidRPr="00B37D63" w:rsidRDefault="00B37D63" w:rsidP="00B37D63">
      <w:pPr>
        <w:pStyle w:val="ListParagraph"/>
        <w:numPr>
          <w:ilvl w:val="0"/>
          <w:numId w:val="1"/>
        </w:numPr>
        <w:rPr>
          <w:rFonts w:asciiTheme="majorHAnsi" w:hAnsiTheme="majorHAnsi" w:cstheme="majorHAnsi"/>
          <w:sz w:val="24"/>
          <w:szCs w:val="24"/>
        </w:rPr>
      </w:pPr>
      <w:r w:rsidRPr="00B37D63">
        <w:rPr>
          <w:rFonts w:asciiTheme="majorHAnsi" w:hAnsiTheme="majorHAnsi" w:cstheme="majorHAnsi"/>
          <w:sz w:val="24"/>
          <w:szCs w:val="24"/>
        </w:rPr>
        <w:t>Internet Safety</w:t>
      </w:r>
    </w:p>
    <w:p w:rsidR="00B37D63" w:rsidRPr="00B37D63" w:rsidRDefault="00B37D63" w:rsidP="00B37D63">
      <w:pPr>
        <w:pStyle w:val="ListParagraph"/>
        <w:numPr>
          <w:ilvl w:val="0"/>
          <w:numId w:val="1"/>
        </w:numPr>
        <w:rPr>
          <w:rFonts w:asciiTheme="majorHAnsi" w:hAnsiTheme="majorHAnsi" w:cstheme="majorHAnsi"/>
          <w:sz w:val="24"/>
          <w:szCs w:val="24"/>
        </w:rPr>
      </w:pPr>
      <w:r w:rsidRPr="00B37D63">
        <w:rPr>
          <w:rFonts w:asciiTheme="majorHAnsi" w:hAnsiTheme="majorHAnsi" w:cstheme="majorHAnsi"/>
          <w:sz w:val="24"/>
          <w:szCs w:val="24"/>
        </w:rPr>
        <w:t>Privacy &amp; Security:</w:t>
      </w:r>
    </w:p>
    <w:p w:rsidR="00B37D63" w:rsidRPr="00B37D63" w:rsidRDefault="00B37D63" w:rsidP="00B37D63">
      <w:pPr>
        <w:pStyle w:val="ListParagraph"/>
        <w:numPr>
          <w:ilvl w:val="0"/>
          <w:numId w:val="1"/>
        </w:numPr>
        <w:rPr>
          <w:rFonts w:asciiTheme="majorHAnsi" w:hAnsiTheme="majorHAnsi" w:cstheme="majorHAnsi"/>
          <w:sz w:val="24"/>
          <w:szCs w:val="24"/>
        </w:rPr>
      </w:pPr>
      <w:r w:rsidRPr="00B37D63">
        <w:rPr>
          <w:rFonts w:asciiTheme="majorHAnsi" w:hAnsiTheme="majorHAnsi" w:cstheme="majorHAnsi"/>
          <w:sz w:val="24"/>
          <w:szCs w:val="24"/>
        </w:rPr>
        <w:t>Relationships &amp; Communication</w:t>
      </w:r>
    </w:p>
    <w:p w:rsidR="00B37D63" w:rsidRPr="00B37D63" w:rsidRDefault="00B37D63" w:rsidP="00B37D63">
      <w:pPr>
        <w:pStyle w:val="ListParagraph"/>
        <w:numPr>
          <w:ilvl w:val="0"/>
          <w:numId w:val="1"/>
        </w:numPr>
        <w:rPr>
          <w:rFonts w:asciiTheme="majorHAnsi" w:hAnsiTheme="majorHAnsi" w:cstheme="majorHAnsi"/>
          <w:sz w:val="24"/>
          <w:szCs w:val="24"/>
        </w:rPr>
      </w:pPr>
      <w:r w:rsidRPr="00B37D63">
        <w:rPr>
          <w:rFonts w:asciiTheme="majorHAnsi" w:hAnsiTheme="majorHAnsi" w:cstheme="majorHAnsi"/>
          <w:sz w:val="24"/>
          <w:szCs w:val="24"/>
        </w:rPr>
        <w:t>Cyberbullying &amp; Digital Drama</w:t>
      </w:r>
    </w:p>
    <w:p w:rsidR="00B37D63" w:rsidRPr="00B37D63" w:rsidRDefault="00B37D63" w:rsidP="00B37D63">
      <w:pPr>
        <w:pStyle w:val="ListParagraph"/>
        <w:numPr>
          <w:ilvl w:val="0"/>
          <w:numId w:val="1"/>
        </w:numPr>
        <w:rPr>
          <w:rFonts w:asciiTheme="majorHAnsi" w:hAnsiTheme="majorHAnsi" w:cstheme="majorHAnsi"/>
          <w:sz w:val="24"/>
          <w:szCs w:val="24"/>
        </w:rPr>
      </w:pPr>
      <w:r w:rsidRPr="00B37D63">
        <w:rPr>
          <w:rFonts w:asciiTheme="majorHAnsi" w:hAnsiTheme="majorHAnsi" w:cstheme="majorHAnsi"/>
          <w:sz w:val="24"/>
          <w:szCs w:val="24"/>
        </w:rPr>
        <w:t>Digital Footprint &amp; Reputation</w:t>
      </w:r>
    </w:p>
    <w:p w:rsidR="00B37D63" w:rsidRPr="00B37D63" w:rsidRDefault="00B37D63" w:rsidP="00B37D63">
      <w:pPr>
        <w:pStyle w:val="ListParagraph"/>
        <w:numPr>
          <w:ilvl w:val="0"/>
          <w:numId w:val="1"/>
        </w:numPr>
        <w:rPr>
          <w:rFonts w:asciiTheme="majorHAnsi" w:hAnsiTheme="majorHAnsi" w:cstheme="majorHAnsi"/>
          <w:sz w:val="24"/>
          <w:szCs w:val="24"/>
        </w:rPr>
      </w:pPr>
      <w:r w:rsidRPr="00B37D63">
        <w:rPr>
          <w:rFonts w:asciiTheme="majorHAnsi" w:hAnsiTheme="majorHAnsi" w:cstheme="majorHAnsi"/>
          <w:sz w:val="24"/>
          <w:szCs w:val="24"/>
        </w:rPr>
        <w:t>Self-Image &amp; Identity</w:t>
      </w:r>
    </w:p>
    <w:p w:rsidR="00B37D63" w:rsidRPr="00B37D63" w:rsidRDefault="00B37D63" w:rsidP="00B37D63">
      <w:pPr>
        <w:pStyle w:val="ListParagraph"/>
        <w:numPr>
          <w:ilvl w:val="0"/>
          <w:numId w:val="1"/>
        </w:numPr>
        <w:rPr>
          <w:rFonts w:asciiTheme="majorHAnsi" w:hAnsiTheme="majorHAnsi" w:cstheme="majorHAnsi"/>
          <w:sz w:val="24"/>
          <w:szCs w:val="24"/>
        </w:rPr>
      </w:pPr>
      <w:r w:rsidRPr="00B37D63">
        <w:rPr>
          <w:rFonts w:asciiTheme="majorHAnsi" w:hAnsiTheme="majorHAnsi" w:cstheme="majorHAnsi"/>
          <w:sz w:val="24"/>
          <w:szCs w:val="24"/>
        </w:rPr>
        <w:t xml:space="preserve">Information Literacy      </w:t>
      </w:r>
    </w:p>
    <w:p w:rsidR="00B37D63" w:rsidRPr="00B37D63" w:rsidRDefault="00B37D63" w:rsidP="00B37D63">
      <w:pPr>
        <w:pStyle w:val="ListParagraph"/>
        <w:numPr>
          <w:ilvl w:val="0"/>
          <w:numId w:val="1"/>
        </w:numPr>
        <w:rPr>
          <w:rFonts w:asciiTheme="majorHAnsi" w:hAnsiTheme="majorHAnsi" w:cstheme="majorHAnsi"/>
          <w:sz w:val="24"/>
          <w:szCs w:val="24"/>
        </w:rPr>
      </w:pPr>
      <w:r w:rsidRPr="00B37D63">
        <w:rPr>
          <w:rFonts w:asciiTheme="majorHAnsi" w:hAnsiTheme="majorHAnsi" w:cstheme="majorHAnsi"/>
          <w:sz w:val="24"/>
          <w:szCs w:val="24"/>
        </w:rPr>
        <w:t>Creative Credit &amp; Copyright</w:t>
      </w:r>
    </w:p>
    <w:p w:rsidR="00B37D63" w:rsidRPr="00B37D63" w:rsidRDefault="00B37D63" w:rsidP="00B37D63">
      <w:pPr>
        <w:rPr>
          <w:rFonts w:asciiTheme="majorHAnsi" w:hAnsiTheme="majorHAnsi" w:cstheme="majorHAnsi"/>
          <w:sz w:val="24"/>
          <w:szCs w:val="24"/>
        </w:rPr>
      </w:pPr>
      <w:r w:rsidRPr="00B37D63">
        <w:rPr>
          <w:rFonts w:asciiTheme="majorHAnsi" w:hAnsiTheme="majorHAnsi" w:cstheme="majorHAnsi"/>
          <w:sz w:val="24"/>
          <w:szCs w:val="24"/>
        </w:rPr>
        <w:t xml:space="preserve">Each topic is a critical component of fostering digital citizenship in children and should be included in a comprehensive digital citizenship curriculum. Common Sense Media provides curriculum content and activities based on best practices for teaching digital citizenship to your students. This curriculum includes lesson plans as downloadable PDF documents, </w:t>
      </w:r>
      <w:proofErr w:type="spellStart"/>
      <w:r w:rsidRPr="00B37D63">
        <w:rPr>
          <w:rFonts w:asciiTheme="majorHAnsi" w:hAnsiTheme="majorHAnsi" w:cstheme="majorHAnsi"/>
          <w:sz w:val="24"/>
          <w:szCs w:val="24"/>
        </w:rPr>
        <w:t>Nearpod</w:t>
      </w:r>
      <w:proofErr w:type="spellEnd"/>
      <w:r w:rsidRPr="00B37D63">
        <w:rPr>
          <w:rFonts w:asciiTheme="majorHAnsi" w:hAnsiTheme="majorHAnsi" w:cstheme="majorHAnsi"/>
          <w:sz w:val="24"/>
          <w:szCs w:val="24"/>
        </w:rPr>
        <w:t xml:space="preserve"> files or an iBook textbook, family out-reach materials and best practice briefs and videos. In this quest, you will take a closer look at the digital citizenship for a particular grade level and learn about the opportunities and challenges of our students' digital lives.  Take some time to explore </w:t>
      </w:r>
      <w:hyperlink r:id="rId5" w:history="1">
        <w:r w:rsidRPr="00B37D63">
          <w:rPr>
            <w:rStyle w:val="Hyperlink"/>
            <w:rFonts w:asciiTheme="majorHAnsi" w:hAnsiTheme="majorHAnsi" w:cstheme="majorHAnsi"/>
            <w:sz w:val="24"/>
            <w:szCs w:val="24"/>
          </w:rPr>
          <w:t>these resources online</w:t>
        </w:r>
      </w:hyperlink>
      <w:r>
        <w:rPr>
          <w:rFonts w:asciiTheme="majorHAnsi" w:hAnsiTheme="majorHAnsi" w:cstheme="majorHAnsi"/>
          <w:sz w:val="24"/>
          <w:szCs w:val="24"/>
        </w:rPr>
        <w:t>.</w:t>
      </w:r>
    </w:p>
    <w:p w:rsidR="001656BF" w:rsidRPr="00B37D63" w:rsidRDefault="00B37D63" w:rsidP="00B37D63">
      <w:pPr>
        <w:rPr>
          <w:rFonts w:asciiTheme="majorHAnsi" w:hAnsiTheme="majorHAnsi" w:cstheme="majorHAnsi"/>
          <w:sz w:val="24"/>
          <w:szCs w:val="24"/>
        </w:rPr>
      </w:pPr>
      <w:r w:rsidRPr="00B37D63">
        <w:rPr>
          <w:rFonts w:asciiTheme="majorHAnsi" w:hAnsiTheme="majorHAnsi" w:cstheme="majorHAnsi"/>
          <w:sz w:val="24"/>
          <w:szCs w:val="24"/>
        </w:rPr>
        <w:t xml:space="preserve">Interested in exploring other curricular resources? </w:t>
      </w:r>
      <w:hyperlink r:id="rId6" w:history="1">
        <w:r w:rsidRPr="00B37D63">
          <w:rPr>
            <w:rStyle w:val="Hyperlink"/>
            <w:rFonts w:asciiTheme="majorHAnsi" w:hAnsiTheme="majorHAnsi" w:cstheme="majorHAnsi"/>
            <w:sz w:val="24"/>
            <w:szCs w:val="24"/>
          </w:rPr>
          <w:t>Click here for a curated list of ideas and resources and let me know if you have any to add</w:t>
        </w:r>
      </w:hyperlink>
      <w:r w:rsidRPr="00B37D63">
        <w:rPr>
          <w:rFonts w:asciiTheme="majorHAnsi" w:hAnsiTheme="majorHAnsi" w:cstheme="majorHAnsi"/>
          <w:sz w:val="24"/>
          <w:szCs w:val="24"/>
        </w:rPr>
        <w:t>.</w:t>
      </w:r>
      <w:r>
        <w:rPr>
          <w:rFonts w:asciiTheme="majorHAnsi" w:hAnsiTheme="majorHAnsi" w:cstheme="majorHAnsi"/>
          <w:sz w:val="24"/>
          <w:szCs w:val="24"/>
        </w:rPr>
        <w:t xml:space="preserve"> Then, take a look at the </w:t>
      </w:r>
      <w:hyperlink r:id="rId7" w:history="1">
        <w:r w:rsidRPr="00B37D63">
          <w:rPr>
            <w:rStyle w:val="Hyperlink"/>
            <w:rFonts w:asciiTheme="majorHAnsi" w:hAnsiTheme="majorHAnsi" w:cstheme="majorHAnsi"/>
            <w:sz w:val="24"/>
            <w:szCs w:val="24"/>
          </w:rPr>
          <w:t>picture books I offer as great mentor texts for teaching digital citizenship</w:t>
        </w:r>
      </w:hyperlink>
      <w:r>
        <w:rPr>
          <w:rFonts w:asciiTheme="majorHAnsi" w:hAnsiTheme="majorHAnsi" w:cstheme="majorHAnsi"/>
          <w:sz w:val="24"/>
          <w:szCs w:val="24"/>
        </w:rPr>
        <w:t xml:space="preserve"> using Common Sense Media’s framework. Let me know if you have any ideas to add here too!</w:t>
      </w:r>
    </w:p>
    <w:p w:rsidR="001656BF" w:rsidRPr="001656BF" w:rsidRDefault="001656BF">
      <w:pPr>
        <w:rPr>
          <w:rFonts w:asciiTheme="majorHAnsi" w:hAnsiTheme="majorHAnsi" w:cstheme="majorHAnsi"/>
          <w:sz w:val="24"/>
          <w:szCs w:val="24"/>
        </w:rPr>
      </w:pPr>
      <w:bookmarkStart w:id="0" w:name="_GoBack"/>
      <w:bookmarkEnd w:id="0"/>
    </w:p>
    <w:sectPr w:rsidR="001656BF" w:rsidRPr="001656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2E6FA8"/>
    <w:multiLevelType w:val="hybridMultilevel"/>
    <w:tmpl w:val="AECA1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6BF"/>
    <w:rsid w:val="001656BF"/>
    <w:rsid w:val="008422E5"/>
    <w:rsid w:val="00B37D63"/>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76D70"/>
  <w15:chartTrackingRefBased/>
  <w15:docId w15:val="{C883F7CB-E1CF-4D23-9306-95C903299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7D63"/>
    <w:pPr>
      <w:ind w:left="720"/>
      <w:contextualSpacing/>
    </w:pPr>
  </w:style>
  <w:style w:type="character" w:styleId="Hyperlink">
    <w:name w:val="Hyperlink"/>
    <w:basedOn w:val="DefaultParagraphFont"/>
    <w:uiPriority w:val="99"/>
    <w:unhideWhenUsed/>
    <w:rsid w:val="00B37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adlet.com/stephanieaffini/digcitbook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dlet.com/stephanieaffini/digcit" TargetMode="External"/><Relationship Id="rId5" Type="http://schemas.openxmlformats.org/officeDocument/2006/relationships/hyperlink" Target="https://www.commonsense.org/education/scope-and-sequenc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2</cp:revision>
  <dcterms:created xsi:type="dcterms:W3CDTF">2019-05-22T18:48:00Z</dcterms:created>
  <dcterms:modified xsi:type="dcterms:W3CDTF">2019-05-22T18:51:00Z</dcterms:modified>
</cp:coreProperties>
</file>